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CD2" w:rsidRDefault="00DC4CD2" w:rsidP="00DC4CD2">
      <w:pPr>
        <w:autoSpaceDE w:val="0"/>
        <w:autoSpaceDN w:val="0"/>
        <w:adjustRightInd w:val="0"/>
        <w:rPr>
          <w:rFonts w:asciiTheme="minorHAnsi" w:hAnsiTheme="minorHAnsi" w:cs="Calibri"/>
          <w:color w:val="00000A"/>
          <w:sz w:val="22"/>
          <w:szCs w:val="22"/>
          <w:lang w:eastAsia="en-US"/>
        </w:rPr>
      </w:pPr>
      <w:r w:rsidRPr="00DC4CD2">
        <w:rPr>
          <w:rFonts w:asciiTheme="minorHAnsi" w:hAnsiTheme="minorHAnsi" w:cs="Calibri"/>
          <w:color w:val="00000A"/>
          <w:sz w:val="22"/>
          <w:szCs w:val="22"/>
          <w:lang w:eastAsia="en-US"/>
        </w:rPr>
        <w:t>Darbo planas</w:t>
      </w:r>
    </w:p>
    <w:p w:rsidR="00DC4CD2" w:rsidRPr="00DC4CD2" w:rsidRDefault="00DC4CD2" w:rsidP="00DC4CD2">
      <w:pPr>
        <w:autoSpaceDE w:val="0"/>
        <w:autoSpaceDN w:val="0"/>
        <w:adjustRightInd w:val="0"/>
        <w:rPr>
          <w:rFonts w:asciiTheme="minorHAnsi" w:hAnsiTheme="minorHAnsi" w:cs="Calibri"/>
          <w:color w:val="00000A"/>
          <w:sz w:val="22"/>
          <w:szCs w:val="22"/>
          <w:lang w:eastAsia="en-US"/>
        </w:rPr>
      </w:pPr>
    </w:p>
    <w:p w:rsidR="00DC4CD2" w:rsidRDefault="00DC4CD2" w:rsidP="00A630DD">
      <w:pPr>
        <w:autoSpaceDE w:val="0"/>
        <w:autoSpaceDN w:val="0"/>
        <w:adjustRightInd w:val="0"/>
        <w:rPr>
          <w:rFonts w:asciiTheme="minorHAnsi" w:hAnsiTheme="minorHAnsi" w:cs="Calibri-Italic"/>
          <w:i/>
          <w:iCs/>
          <w:color w:val="00000A"/>
          <w:sz w:val="22"/>
          <w:szCs w:val="22"/>
          <w:lang w:eastAsia="en-US"/>
        </w:rPr>
      </w:pPr>
      <w:r w:rsidRPr="00DC4CD2">
        <w:rPr>
          <w:rFonts w:asciiTheme="minorHAnsi" w:hAnsiTheme="minorHAnsi" w:cs="Calibri-Bold"/>
          <w:b/>
          <w:bCs/>
          <w:color w:val="00000A"/>
          <w:sz w:val="22"/>
          <w:szCs w:val="22"/>
          <w:lang w:eastAsia="en-US"/>
        </w:rPr>
        <w:t xml:space="preserve">Užduotis: </w:t>
      </w:r>
      <w:r w:rsidR="00A630DD" w:rsidRPr="00A630DD">
        <w:rPr>
          <w:rFonts w:asciiTheme="minorHAnsi" w:hAnsiTheme="minorHAnsi" w:cs="Calibri-Italic"/>
          <w:i/>
          <w:iCs/>
          <w:color w:val="00000A"/>
          <w:sz w:val="22"/>
          <w:szCs w:val="22"/>
          <w:lang w:eastAsia="en-US"/>
        </w:rPr>
        <w:t>Atlikite arčiausiai jūsų gyvenamosios vietos tekančios upės ruožo tyrimą. Tai gali būti plati upė, nedidelis upelis ar net upokšnis. Reikėtų, kad per didesnę upę būtų tiltas. Naudodamiesi planu, atlikite tyrimą, pagal galimybę nufotografuokite keletą tipiškų nuotraukų, naudokitės kompasu ir esant galimybei GPS imtuvu</w:t>
      </w:r>
      <w:r w:rsidR="00770DA2">
        <w:rPr>
          <w:rFonts w:asciiTheme="minorHAnsi" w:hAnsiTheme="minorHAnsi" w:cs="Calibri-Italic"/>
          <w:i/>
          <w:iCs/>
          <w:color w:val="00000A"/>
          <w:sz w:val="22"/>
          <w:szCs w:val="22"/>
          <w:lang w:eastAsia="en-US"/>
        </w:rPr>
        <w:t>. I</w:t>
      </w:r>
      <w:r w:rsidR="00A630DD" w:rsidRPr="00A630DD">
        <w:rPr>
          <w:rFonts w:asciiTheme="minorHAnsi" w:hAnsiTheme="minorHAnsi" w:cs="Calibri-Italic"/>
          <w:i/>
          <w:iCs/>
          <w:color w:val="00000A"/>
          <w:sz w:val="22"/>
          <w:szCs w:val="22"/>
          <w:lang w:eastAsia="en-US"/>
        </w:rPr>
        <w:t xml:space="preserve">š surinktos medžiagos </w:t>
      </w:r>
      <w:r w:rsidR="00770DA2">
        <w:rPr>
          <w:rFonts w:asciiTheme="minorHAnsi" w:hAnsiTheme="minorHAnsi" w:cs="Calibri-Italic"/>
          <w:i/>
          <w:iCs/>
          <w:color w:val="00000A"/>
          <w:sz w:val="22"/>
          <w:szCs w:val="22"/>
          <w:lang w:eastAsia="en-US"/>
        </w:rPr>
        <w:t xml:space="preserve">vėliau parengsite </w:t>
      </w:r>
      <w:r w:rsidR="00A630DD" w:rsidRPr="00A630DD">
        <w:rPr>
          <w:rFonts w:asciiTheme="minorHAnsi" w:hAnsiTheme="minorHAnsi" w:cs="Calibri-Italic"/>
          <w:i/>
          <w:iCs/>
          <w:color w:val="00000A"/>
          <w:sz w:val="22"/>
          <w:szCs w:val="22"/>
          <w:lang w:eastAsia="en-US"/>
        </w:rPr>
        <w:t>pristatymą.</w:t>
      </w:r>
    </w:p>
    <w:p w:rsidR="00272F91" w:rsidRDefault="00272F91" w:rsidP="00272F91">
      <w:pPr>
        <w:spacing w:line="360" w:lineRule="auto"/>
        <w:rPr>
          <w:rFonts w:asciiTheme="minorHAnsi" w:hAnsiTheme="minorHAnsi"/>
          <w:sz w:val="22"/>
          <w:szCs w:val="22"/>
        </w:rPr>
      </w:pPr>
      <w:bookmarkStart w:id="0" w:name="_GoBack"/>
      <w:bookmarkEnd w:id="0"/>
    </w:p>
    <w:p w:rsidR="00DC4CD2" w:rsidRPr="00272F91" w:rsidRDefault="00272F91" w:rsidP="00272F91">
      <w:pPr>
        <w:spacing w:line="360" w:lineRule="auto"/>
        <w:rPr>
          <w:rFonts w:asciiTheme="minorHAnsi" w:hAnsiTheme="minorHAnsi"/>
          <w:b/>
          <w:sz w:val="22"/>
          <w:szCs w:val="22"/>
        </w:rPr>
      </w:pPr>
      <w:r w:rsidRPr="00272F91">
        <w:rPr>
          <w:rFonts w:asciiTheme="minorHAnsi" w:hAnsiTheme="minorHAnsi"/>
          <w:b/>
          <w:sz w:val="22"/>
          <w:szCs w:val="22"/>
        </w:rPr>
        <w:t>Upės ruožo tyrimo planas:</w:t>
      </w:r>
    </w:p>
    <w:tbl>
      <w:tblPr>
        <w:tblW w:w="0" w:type="auto"/>
        <w:tblCellMar>
          <w:left w:w="0" w:type="dxa"/>
          <w:right w:w="0" w:type="dxa"/>
        </w:tblCellMar>
        <w:tblLook w:val="04A0" w:firstRow="1" w:lastRow="0" w:firstColumn="1" w:lastColumn="0" w:noHBand="0" w:noVBand="1"/>
      </w:tblPr>
      <w:tblGrid>
        <w:gridCol w:w="5778"/>
        <w:gridCol w:w="4076"/>
      </w:tblGrid>
      <w:tr w:rsidR="00DC4CD2" w:rsidRPr="008203D2" w:rsidTr="005F12A7">
        <w:trPr>
          <w:trHeight w:val="201"/>
        </w:trPr>
        <w:tc>
          <w:tcPr>
            <w:tcW w:w="57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Upės pavadinimas</w:t>
            </w:r>
          </w:p>
        </w:tc>
        <w:tc>
          <w:tcPr>
            <w:tcW w:w="40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336"/>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rPr>
                <w:rFonts w:asciiTheme="minorHAnsi" w:hAnsiTheme="minorHAnsi"/>
                <w:sz w:val="22"/>
                <w:szCs w:val="22"/>
                <w:lang w:eastAsia="en-US"/>
              </w:rPr>
            </w:pPr>
            <w:r w:rsidRPr="008203D2">
              <w:rPr>
                <w:rFonts w:asciiTheme="minorHAnsi" w:hAnsiTheme="minorHAnsi"/>
                <w:sz w:val="22"/>
                <w:szCs w:val="22"/>
                <w:lang w:eastAsia="en-US"/>
              </w:rPr>
              <w:t>Kurios upės baseinui priklauso? (jeigu tai nėra pagrindinė upė)</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Visas upės ilgis</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Atstumas nuo ištakų</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Atstumas iki žiočių</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336"/>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rPr>
                <w:rFonts w:asciiTheme="minorHAnsi" w:hAnsiTheme="minorHAnsi"/>
                <w:sz w:val="22"/>
                <w:szCs w:val="22"/>
                <w:lang w:eastAsia="en-US"/>
              </w:rPr>
            </w:pPr>
            <w:r w:rsidRPr="008203D2">
              <w:rPr>
                <w:rFonts w:asciiTheme="minorHAnsi" w:hAnsiTheme="minorHAnsi"/>
                <w:sz w:val="22"/>
                <w:szCs w:val="22"/>
                <w:lang w:eastAsia="en-US"/>
              </w:rPr>
              <w:t>Kairysis ar dešinysis intakas (jeigu įteka į pagrindinę upę)</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Upės plotis tyrimo vietoje</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Upės gylis tyrimo vietoje</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Vandens tėkmės greitis tyrimo vietoje</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336"/>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rPr>
                <w:rFonts w:asciiTheme="minorHAnsi" w:hAnsiTheme="minorHAnsi"/>
                <w:sz w:val="22"/>
                <w:szCs w:val="22"/>
                <w:lang w:eastAsia="en-US"/>
              </w:rPr>
            </w:pPr>
            <w:r w:rsidRPr="008203D2">
              <w:rPr>
                <w:rFonts w:asciiTheme="minorHAnsi" w:hAnsiTheme="minorHAnsi"/>
                <w:sz w:val="22"/>
                <w:szCs w:val="22"/>
                <w:lang w:eastAsia="en-US"/>
              </w:rPr>
              <w:t>Vandens lygis (įprastas, žemesnis, aukštesnis) ir to priežastis</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rPr>
                <w:rFonts w:asciiTheme="minorHAnsi" w:hAnsiTheme="minorHAnsi"/>
                <w:sz w:val="22"/>
                <w:szCs w:val="22"/>
                <w:lang w:eastAsia="en-US"/>
              </w:rPr>
            </w:pPr>
            <w:r w:rsidRPr="008203D2">
              <w:rPr>
                <w:rFonts w:asciiTheme="minorHAnsi" w:hAnsiTheme="minorHAnsi"/>
                <w:sz w:val="22"/>
                <w:szCs w:val="22"/>
                <w:lang w:eastAsia="en-US"/>
              </w:rPr>
              <w:t> </w:t>
            </w:r>
          </w:p>
          <w:p w:rsidR="00272F91" w:rsidRPr="008203D2" w:rsidRDefault="00272F91" w:rsidP="0053243D">
            <w:pPr>
              <w:spacing w:before="100" w:beforeAutospacing="1"/>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xml:space="preserve">Kairiojo kranto pobūdis </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72F91"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5C7813" w:rsidRPr="008203D2" w:rsidRDefault="005C7813" w:rsidP="0053243D">
            <w:pPr>
              <w:spacing w:before="100" w:beforeAutospacing="1" w:line="201" w:lineRule="atLeast"/>
              <w:rPr>
                <w:rFonts w:asciiTheme="minorHAnsi" w:hAnsiTheme="minorHAnsi"/>
                <w:sz w:val="22"/>
                <w:szCs w:val="22"/>
                <w:lang w:eastAsia="en-US"/>
              </w:rPr>
            </w:pPr>
          </w:p>
        </w:tc>
      </w:tr>
      <w:tr w:rsidR="00DC4CD2" w:rsidRPr="008203D2" w:rsidTr="005F12A7">
        <w:trPr>
          <w:trHeight w:val="201"/>
        </w:trPr>
        <w:tc>
          <w:tcPr>
            <w:tcW w:w="577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C4CD2" w:rsidRPr="008203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Dešiniojo kranto pobūdis</w:t>
            </w:r>
          </w:p>
        </w:tc>
        <w:tc>
          <w:tcPr>
            <w:tcW w:w="40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C4CD2" w:rsidRDefault="00DC4CD2" w:rsidP="0053243D">
            <w:pPr>
              <w:spacing w:before="100" w:beforeAutospacing="1" w:line="201" w:lineRule="atLeast"/>
              <w:rPr>
                <w:rFonts w:asciiTheme="minorHAnsi" w:hAnsiTheme="minorHAnsi"/>
                <w:sz w:val="22"/>
                <w:szCs w:val="22"/>
                <w:lang w:eastAsia="en-US"/>
              </w:rPr>
            </w:pPr>
            <w:r w:rsidRPr="008203D2">
              <w:rPr>
                <w:rFonts w:asciiTheme="minorHAnsi" w:hAnsiTheme="minorHAnsi"/>
                <w:sz w:val="22"/>
                <w:szCs w:val="22"/>
                <w:lang w:eastAsia="en-US"/>
              </w:rPr>
              <w:t> </w:t>
            </w:r>
          </w:p>
          <w:p w:rsidR="005C7813" w:rsidRPr="008203D2" w:rsidRDefault="005C7813" w:rsidP="0053243D">
            <w:pPr>
              <w:spacing w:before="100" w:beforeAutospacing="1" w:line="201" w:lineRule="atLeast"/>
              <w:rPr>
                <w:rFonts w:asciiTheme="minorHAnsi" w:hAnsiTheme="minorHAnsi"/>
                <w:sz w:val="22"/>
                <w:szCs w:val="22"/>
                <w:lang w:eastAsia="en-US"/>
              </w:rPr>
            </w:pPr>
          </w:p>
        </w:tc>
      </w:tr>
    </w:tbl>
    <w:p w:rsidR="0033145A" w:rsidRPr="008203D2" w:rsidRDefault="0033145A">
      <w:pPr>
        <w:rPr>
          <w:rFonts w:asciiTheme="minorHAnsi" w:hAnsiTheme="minorHAnsi"/>
          <w:sz w:val="22"/>
          <w:szCs w:val="22"/>
        </w:rPr>
      </w:pPr>
    </w:p>
    <w:sectPr w:rsidR="0033145A" w:rsidRPr="008203D2">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20002A87" w:usb1="00000000" w:usb2="00000000" w:usb3="00000000" w:csb0="000001FF" w:csb1="00000000"/>
  </w:font>
  <w:font w:name="Calibri-Bold">
    <w:panose1 w:val="00000000000000000000"/>
    <w:charset w:val="BA"/>
    <w:family w:val="auto"/>
    <w:notTrueType/>
    <w:pitch w:val="default"/>
    <w:sig w:usb0="00000005" w:usb1="00000000" w:usb2="00000000" w:usb3="00000000" w:csb0="00000080" w:csb1="00000000"/>
  </w:font>
  <w:font w:name="Calibri-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C4F"/>
    <w:rsid w:val="00272F91"/>
    <w:rsid w:val="0033145A"/>
    <w:rsid w:val="0035081C"/>
    <w:rsid w:val="0053243D"/>
    <w:rsid w:val="005C7813"/>
    <w:rsid w:val="005F12A7"/>
    <w:rsid w:val="00770DA2"/>
    <w:rsid w:val="008203D2"/>
    <w:rsid w:val="00A630DD"/>
    <w:rsid w:val="00B90C4F"/>
    <w:rsid w:val="00DC4CD2"/>
    <w:rsid w:val="00EE17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CD2"/>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CD2"/>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7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558</Words>
  <Characters>319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Own2</dc:creator>
  <cp:keywords/>
  <dc:description/>
  <cp:lastModifiedBy>Own2</cp:lastModifiedBy>
  <cp:revision>37</cp:revision>
  <cp:lastPrinted>2014-07-10T05:22:00Z</cp:lastPrinted>
  <dcterms:created xsi:type="dcterms:W3CDTF">2014-07-10T05:11:00Z</dcterms:created>
  <dcterms:modified xsi:type="dcterms:W3CDTF">2014-07-10T05:25:00Z</dcterms:modified>
</cp:coreProperties>
</file>